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8D64F" w14:textId="77777777" w:rsidR="009F1485" w:rsidRPr="00DE2AE7" w:rsidRDefault="009F1485" w:rsidP="009F1485">
      <w:pPr>
        <w:pBdr>
          <w:top w:val="single" w:sz="4" w:space="1" w:color="auto"/>
          <w:left w:val="single" w:sz="4" w:space="4" w:color="auto"/>
          <w:bottom w:val="single" w:sz="4" w:space="1" w:color="auto"/>
          <w:right w:val="single" w:sz="4" w:space="4" w:color="auto"/>
        </w:pBdr>
        <w:jc w:val="center"/>
        <w:rPr>
          <w:rFonts w:ascii="Arial" w:hAnsi="Arial" w:cs="Arial"/>
          <w:b/>
          <w:sz w:val="24"/>
          <w:szCs w:val="24"/>
          <w:u w:val="single"/>
        </w:rPr>
      </w:pPr>
    </w:p>
    <w:p w14:paraId="29D29833" w14:textId="2C3C325D" w:rsidR="009F1485" w:rsidRPr="00DE2AE7" w:rsidRDefault="009F1485" w:rsidP="009F1485">
      <w:pPr>
        <w:pBdr>
          <w:top w:val="single" w:sz="4" w:space="1" w:color="auto"/>
          <w:left w:val="single" w:sz="4" w:space="4" w:color="auto"/>
          <w:bottom w:val="single" w:sz="4" w:space="1" w:color="auto"/>
          <w:right w:val="single" w:sz="4" w:space="4" w:color="auto"/>
        </w:pBdr>
        <w:jc w:val="center"/>
        <w:rPr>
          <w:rFonts w:ascii="Arial" w:hAnsi="Arial" w:cs="Arial"/>
          <w:b/>
          <w:sz w:val="24"/>
          <w:szCs w:val="24"/>
          <w:u w:val="single"/>
        </w:rPr>
      </w:pPr>
      <w:r w:rsidRPr="00DE2AE7">
        <w:rPr>
          <w:rFonts w:ascii="Arial" w:hAnsi="Arial" w:cs="Arial"/>
          <w:b/>
          <w:sz w:val="24"/>
          <w:szCs w:val="24"/>
          <w:u w:val="single"/>
        </w:rPr>
        <w:t>Note sur le cas n°5 relatif au paiement des impôts par la commune pendant plus de 3 années consécutives</w:t>
      </w:r>
    </w:p>
    <w:p w14:paraId="0F25ADFA" w14:textId="77777777" w:rsidR="009F1485" w:rsidRPr="00DE2AE7" w:rsidRDefault="009F1485" w:rsidP="009F1485">
      <w:pPr>
        <w:pBdr>
          <w:top w:val="single" w:sz="4" w:space="1" w:color="auto"/>
          <w:left w:val="single" w:sz="4" w:space="4" w:color="auto"/>
          <w:bottom w:val="single" w:sz="4" w:space="1" w:color="auto"/>
          <w:right w:val="single" w:sz="4" w:space="4" w:color="auto"/>
        </w:pBdr>
        <w:jc w:val="center"/>
        <w:rPr>
          <w:rFonts w:ascii="Arial" w:hAnsi="Arial" w:cs="Arial"/>
          <w:b/>
          <w:sz w:val="24"/>
          <w:szCs w:val="24"/>
          <w:u w:val="single"/>
        </w:rPr>
      </w:pPr>
    </w:p>
    <w:p w14:paraId="078D23BD" w14:textId="2950DA08" w:rsidR="009F1485" w:rsidRPr="00DE2AE7" w:rsidRDefault="009F1485" w:rsidP="009F1485">
      <w:pPr>
        <w:pStyle w:val="western"/>
        <w:shd w:val="clear" w:color="auto" w:fill="FFFFFF"/>
        <w:spacing w:before="240" w:beforeAutospacing="0" w:after="240" w:afterAutospacing="0" w:line="168" w:lineRule="atLeast"/>
        <w:jc w:val="both"/>
        <w:rPr>
          <w:rFonts w:ascii="Arial" w:hAnsi="Arial" w:cs="Arial"/>
          <w:b/>
          <w:bCs/>
        </w:rPr>
      </w:pPr>
      <w:r w:rsidRPr="00DE2AE7">
        <w:rPr>
          <w:rFonts w:ascii="Arial" w:hAnsi="Arial" w:cs="Arial"/>
          <w:b/>
          <w:bCs/>
        </w:rPr>
        <w:t xml:space="preserve">Cette procédure est codifiée à l’article </w:t>
      </w:r>
      <w:hyperlink r:id="rId7" w:tgtFrame="_blank" w:tooltip="Ouvrir " w:history="1">
        <w:r w:rsidRPr="00DE2AE7">
          <w:rPr>
            <w:rStyle w:val="Lienhypertexte"/>
            <w:rFonts w:ascii="Arial" w:eastAsiaTheme="majorEastAsia" w:hAnsi="Arial" w:cs="Arial"/>
            <w:b/>
            <w:bCs/>
          </w:rPr>
          <w:t>L2411-12-1</w:t>
        </w:r>
      </w:hyperlink>
      <w:r w:rsidRPr="00DE2AE7">
        <w:rPr>
          <w:rFonts w:ascii="Arial" w:hAnsi="Arial" w:cs="Arial"/>
          <w:b/>
          <w:bCs/>
        </w:rPr>
        <w:t xml:space="preserve"> du CGCT.</w:t>
      </w:r>
    </w:p>
    <w:p w14:paraId="22220420" w14:textId="62FEF020" w:rsidR="00295534" w:rsidRPr="00DE2AE7" w:rsidRDefault="00295534" w:rsidP="009F1485">
      <w:pPr>
        <w:pStyle w:val="western"/>
        <w:shd w:val="clear" w:color="auto" w:fill="FFFFFF"/>
        <w:spacing w:before="240" w:beforeAutospacing="0" w:after="240" w:afterAutospacing="0" w:line="168" w:lineRule="atLeast"/>
        <w:jc w:val="both"/>
        <w:rPr>
          <w:rFonts w:ascii="Arial" w:hAnsi="Arial" w:cs="Arial"/>
        </w:rPr>
      </w:pPr>
      <w:r w:rsidRPr="00DE2AE7">
        <w:rPr>
          <w:rFonts w:ascii="Arial" w:hAnsi="Arial" w:cs="Arial"/>
        </w:rPr>
        <w:t xml:space="preserve">Ce motif de transfert est fréquemment utilisé </w:t>
      </w:r>
      <w:r w:rsidR="00396F0F">
        <w:rPr>
          <w:rFonts w:ascii="Arial" w:hAnsi="Arial" w:cs="Arial"/>
        </w:rPr>
        <w:t xml:space="preserve">par les communes </w:t>
      </w:r>
      <w:r w:rsidRPr="00DE2AE7">
        <w:rPr>
          <w:rFonts w:ascii="Arial" w:hAnsi="Arial" w:cs="Arial"/>
        </w:rPr>
        <w:t>mais implique de valider un certain nombre de prérequis qui ne sont pas explicites dans les textes de loi</w:t>
      </w:r>
      <w:r w:rsidR="00DE2AE7" w:rsidRPr="00DE2AE7">
        <w:rPr>
          <w:rFonts w:ascii="Arial" w:hAnsi="Arial" w:cs="Arial"/>
        </w:rPr>
        <w:t xml:space="preserve"> et qui sont autant de failles potentielles en cas d’attaque au tribunal administratif des arrêtés préfectoraux.</w:t>
      </w:r>
    </w:p>
    <w:p w14:paraId="101FBC8D" w14:textId="7D486623" w:rsidR="00DE2AE7" w:rsidRPr="00DE2AE7" w:rsidRDefault="00DE2AE7" w:rsidP="00DE2AE7">
      <w:pPr>
        <w:pStyle w:val="western"/>
        <w:shd w:val="clear" w:color="auto" w:fill="FFFFFF"/>
        <w:spacing w:before="240" w:beforeAutospacing="0" w:after="0" w:afterAutospacing="0" w:line="168" w:lineRule="atLeast"/>
        <w:jc w:val="both"/>
        <w:rPr>
          <w:rFonts w:ascii="Arial" w:hAnsi="Arial" w:cs="Arial"/>
        </w:rPr>
      </w:pPr>
      <w:r w:rsidRPr="00DE2AE7">
        <w:rPr>
          <w:rFonts w:ascii="Arial" w:hAnsi="Arial" w:cs="Arial"/>
        </w:rPr>
        <w:t xml:space="preserve">La jurisprudence (cf. annexe en page suivante) indique que, pour que le motif soit valide, </w:t>
      </w:r>
      <w:r w:rsidR="009F1485" w:rsidRPr="00DE2AE7">
        <w:rPr>
          <w:rFonts w:ascii="Arial" w:hAnsi="Arial" w:cs="Arial"/>
        </w:rPr>
        <w:t>la commune</w:t>
      </w:r>
      <w:r w:rsidRPr="00DE2AE7">
        <w:rPr>
          <w:rFonts w:ascii="Arial" w:hAnsi="Arial" w:cs="Arial"/>
        </w:rPr>
        <w:t> </w:t>
      </w:r>
      <w:r w:rsidR="00396F0F">
        <w:rPr>
          <w:rFonts w:ascii="Arial" w:hAnsi="Arial" w:cs="Arial"/>
        </w:rPr>
        <w:t xml:space="preserve">doit </w:t>
      </w:r>
      <w:r w:rsidRPr="00DE2AE7">
        <w:rPr>
          <w:rFonts w:ascii="Arial" w:hAnsi="Arial" w:cs="Arial"/>
        </w:rPr>
        <w:t>:</w:t>
      </w:r>
    </w:p>
    <w:p w14:paraId="0B389224" w14:textId="09235718" w:rsidR="00DE2AE7" w:rsidRPr="00DE2AE7" w:rsidRDefault="00DE2AE7" w:rsidP="00DE2AE7">
      <w:pPr>
        <w:pStyle w:val="western"/>
        <w:numPr>
          <w:ilvl w:val="0"/>
          <w:numId w:val="2"/>
        </w:numPr>
        <w:shd w:val="clear" w:color="auto" w:fill="FFFFFF"/>
        <w:spacing w:before="240" w:beforeAutospacing="0" w:after="0" w:afterAutospacing="0" w:line="168" w:lineRule="atLeast"/>
        <w:jc w:val="both"/>
        <w:rPr>
          <w:rFonts w:ascii="Arial" w:hAnsi="Arial" w:cs="Arial"/>
        </w:rPr>
      </w:pPr>
      <w:r w:rsidRPr="00DE2AE7">
        <w:rPr>
          <w:rFonts w:ascii="Arial" w:hAnsi="Arial" w:cs="Arial"/>
        </w:rPr>
        <w:t xml:space="preserve">1) </w:t>
      </w:r>
      <w:r w:rsidR="009F1485" w:rsidRPr="00DE2AE7">
        <w:rPr>
          <w:rFonts w:ascii="Arial" w:hAnsi="Arial" w:cs="Arial"/>
        </w:rPr>
        <w:t>a</w:t>
      </w:r>
      <w:r w:rsidR="00396F0F">
        <w:rPr>
          <w:rFonts w:ascii="Arial" w:hAnsi="Arial" w:cs="Arial"/>
        </w:rPr>
        <w:t>voir</w:t>
      </w:r>
      <w:r w:rsidR="009F1485" w:rsidRPr="00DE2AE7">
        <w:rPr>
          <w:rFonts w:ascii="Arial" w:hAnsi="Arial" w:cs="Arial"/>
        </w:rPr>
        <w:t xml:space="preserve"> tenu un état spécial du budget en bonne et due forme pour la sectio</w:t>
      </w:r>
      <w:r w:rsidRPr="00DE2AE7">
        <w:rPr>
          <w:rFonts w:ascii="Arial" w:hAnsi="Arial" w:cs="Arial"/>
        </w:rPr>
        <w:t>n</w:t>
      </w:r>
      <w:r w:rsidR="00396F0F">
        <w:rPr>
          <w:rFonts w:ascii="Arial" w:hAnsi="Arial" w:cs="Arial"/>
        </w:rPr>
        <w:t> ;</w:t>
      </w:r>
    </w:p>
    <w:p w14:paraId="6C75CF70" w14:textId="6995F768" w:rsidR="00DE2AE7" w:rsidRPr="0037113F" w:rsidRDefault="009F1485" w:rsidP="0037113F">
      <w:pPr>
        <w:pStyle w:val="western"/>
        <w:numPr>
          <w:ilvl w:val="0"/>
          <w:numId w:val="2"/>
        </w:numPr>
        <w:shd w:val="clear" w:color="auto" w:fill="FFFFFF"/>
        <w:spacing w:before="240" w:after="240" w:line="168" w:lineRule="atLeast"/>
        <w:jc w:val="both"/>
        <w:rPr>
          <w:rFonts w:ascii="Arial" w:hAnsi="Arial" w:cs="Arial"/>
          <w:color w:val="E97132" w:themeColor="accent2"/>
        </w:rPr>
      </w:pPr>
      <w:r w:rsidRPr="0037113F">
        <w:rPr>
          <w:rFonts w:ascii="Arial" w:hAnsi="Arial" w:cs="Arial"/>
        </w:rPr>
        <w:t>2</w:t>
      </w:r>
      <w:r w:rsidR="00DE2AE7" w:rsidRPr="0037113F">
        <w:rPr>
          <w:rFonts w:ascii="Arial" w:hAnsi="Arial" w:cs="Arial"/>
        </w:rPr>
        <w:t xml:space="preserve">) </w:t>
      </w:r>
      <w:r w:rsidR="00396F0F" w:rsidRPr="0037113F">
        <w:rPr>
          <w:rFonts w:ascii="Arial" w:hAnsi="Arial" w:cs="Arial"/>
        </w:rPr>
        <w:t>être</w:t>
      </w:r>
      <w:r w:rsidRPr="0037113F">
        <w:rPr>
          <w:rFonts w:ascii="Arial" w:hAnsi="Arial" w:cs="Arial"/>
        </w:rPr>
        <w:t xml:space="preserve"> en mesure de prouver que les recettes potentielles de la section étaient insuffisantes pour payer</w:t>
      </w:r>
      <w:r w:rsidR="00DE2AE7" w:rsidRPr="0037113F">
        <w:rPr>
          <w:rFonts w:ascii="Arial" w:hAnsi="Arial" w:cs="Arial"/>
        </w:rPr>
        <w:t xml:space="preserve"> les impôts fonciers</w:t>
      </w:r>
      <w:r w:rsidRPr="0037113F">
        <w:rPr>
          <w:rFonts w:ascii="Arial" w:hAnsi="Arial" w:cs="Arial"/>
        </w:rPr>
        <w:t xml:space="preserve"> sur une période de 3 années consécutives.</w:t>
      </w:r>
      <w:r w:rsidR="0037113F">
        <w:rPr>
          <w:rFonts w:ascii="Arial" w:hAnsi="Arial" w:cs="Arial"/>
        </w:rPr>
        <w:t xml:space="preserve"> On peut pour cela demander une</w:t>
      </w:r>
      <w:r w:rsidRPr="0037113F">
        <w:rPr>
          <w:rFonts w:ascii="Arial" w:hAnsi="Arial" w:cs="Arial"/>
        </w:rPr>
        <w:t xml:space="preserve"> </w:t>
      </w:r>
      <w:r w:rsidR="0037113F" w:rsidRPr="0037113F">
        <w:rPr>
          <w:rFonts w:ascii="Arial" w:hAnsi="Arial" w:cs="Arial"/>
        </w:rPr>
        <w:t xml:space="preserve">attestation de la trésorerie dont dépend votre commune précisant que </w:t>
      </w:r>
      <w:r w:rsidR="0037113F">
        <w:rPr>
          <w:rFonts w:ascii="Arial" w:hAnsi="Arial" w:cs="Arial"/>
        </w:rPr>
        <w:t>« </w:t>
      </w:r>
      <w:r w:rsidR="0037113F" w:rsidRPr="0037113F">
        <w:rPr>
          <w:rFonts w:ascii="Arial" w:hAnsi="Arial" w:cs="Arial"/>
          <w:i/>
          <w:iCs/>
        </w:rPr>
        <w:t xml:space="preserve">les </w:t>
      </w:r>
      <w:bookmarkStart w:id="0" w:name="_Hlk184978678"/>
      <w:r w:rsidR="0037113F" w:rsidRPr="0037113F">
        <w:rPr>
          <w:rFonts w:ascii="Arial" w:hAnsi="Arial" w:cs="Arial"/>
          <w:i/>
          <w:iCs/>
        </w:rPr>
        <w:t>taxes foncières de la section ont été payées sur le budget général de la commune sur le fondement des ressources qui lui sont propres et qui ne pourraient pas correspondre aux ressources de la section</w:t>
      </w:r>
      <w:bookmarkEnd w:id="0"/>
      <w:r w:rsidR="0037113F">
        <w:rPr>
          <w:rFonts w:ascii="Arial" w:hAnsi="Arial" w:cs="Arial"/>
        </w:rPr>
        <w:t> »</w:t>
      </w:r>
      <w:r w:rsidR="00AC565F">
        <w:rPr>
          <w:rFonts w:ascii="Arial" w:hAnsi="Arial" w:cs="Arial"/>
        </w:rPr>
        <w:t>.</w:t>
      </w:r>
    </w:p>
    <w:p w14:paraId="62CC6BD7" w14:textId="7704B5BF" w:rsidR="009F1485" w:rsidRDefault="009F1485" w:rsidP="00DE2AE7">
      <w:pPr>
        <w:pStyle w:val="western"/>
        <w:shd w:val="clear" w:color="auto" w:fill="FFFFFF"/>
        <w:spacing w:before="240" w:beforeAutospacing="0" w:after="240" w:afterAutospacing="0" w:line="168" w:lineRule="atLeast"/>
        <w:jc w:val="both"/>
        <w:rPr>
          <w:rFonts w:ascii="Arial" w:hAnsi="Arial" w:cs="Arial"/>
        </w:rPr>
      </w:pPr>
      <w:r w:rsidRPr="00DE2AE7">
        <w:rPr>
          <w:rFonts w:ascii="Arial" w:hAnsi="Arial" w:cs="Arial"/>
        </w:rPr>
        <w:t>Dans la majorité des situations</w:t>
      </w:r>
      <w:r w:rsidR="00DE2AE7" w:rsidRPr="00DE2AE7">
        <w:rPr>
          <w:rFonts w:ascii="Arial" w:hAnsi="Arial" w:cs="Arial"/>
        </w:rPr>
        <w:t xml:space="preserve"> </w:t>
      </w:r>
      <w:r w:rsidR="00396F0F">
        <w:rPr>
          <w:rFonts w:ascii="Arial" w:hAnsi="Arial" w:cs="Arial"/>
        </w:rPr>
        <w:t>(absence de commission syndicale constituée, et pas d’état spécial annexé au budget)</w:t>
      </w:r>
      <w:r w:rsidRPr="00DE2AE7">
        <w:rPr>
          <w:rFonts w:ascii="Arial" w:hAnsi="Arial" w:cs="Arial"/>
        </w:rPr>
        <w:t xml:space="preserve">, </w:t>
      </w:r>
      <w:r w:rsidR="00396F0F">
        <w:rPr>
          <w:rFonts w:ascii="Arial" w:hAnsi="Arial" w:cs="Arial"/>
        </w:rPr>
        <w:t>le cas est</w:t>
      </w:r>
      <w:r w:rsidRPr="00DE2AE7">
        <w:rPr>
          <w:rFonts w:ascii="Arial" w:hAnsi="Arial" w:cs="Arial"/>
        </w:rPr>
        <w:t xml:space="preserve"> inapplicable, sauf à reprendre scrupuleusement </w:t>
      </w:r>
      <w:r w:rsidR="00DE2AE7" w:rsidRPr="00DE2AE7">
        <w:rPr>
          <w:rFonts w:ascii="Arial" w:hAnsi="Arial" w:cs="Arial"/>
        </w:rPr>
        <w:t>la tenue de l’état</w:t>
      </w:r>
      <w:r w:rsidR="00396F0F">
        <w:rPr>
          <w:rFonts w:ascii="Arial" w:hAnsi="Arial" w:cs="Arial"/>
        </w:rPr>
        <w:t xml:space="preserve"> spécial</w:t>
      </w:r>
      <w:r w:rsidR="00DE2AE7" w:rsidRPr="00DE2AE7">
        <w:rPr>
          <w:rFonts w:ascii="Arial" w:hAnsi="Arial" w:cs="Arial"/>
        </w:rPr>
        <w:t xml:space="preserve"> </w:t>
      </w:r>
      <w:r w:rsidRPr="00DE2AE7">
        <w:rPr>
          <w:rFonts w:ascii="Arial" w:hAnsi="Arial" w:cs="Arial"/>
        </w:rPr>
        <w:t>pour une nouvelle période de 3 ans</w:t>
      </w:r>
      <w:r w:rsidR="0037113F">
        <w:rPr>
          <w:rFonts w:ascii="Arial" w:hAnsi="Arial" w:cs="Arial"/>
        </w:rPr>
        <w:t xml:space="preserve"> (pendant laquelle la section n’est pas en mesure de payer les taxes foncières).</w:t>
      </w:r>
    </w:p>
    <w:p w14:paraId="40AC1475" w14:textId="0283C3E7" w:rsidR="00396F0F" w:rsidRPr="00DE2AE7" w:rsidRDefault="00396F0F" w:rsidP="00DE2AE7">
      <w:pPr>
        <w:pStyle w:val="western"/>
        <w:shd w:val="clear" w:color="auto" w:fill="FFFFFF"/>
        <w:spacing w:before="240" w:beforeAutospacing="0" w:after="240" w:afterAutospacing="0" w:line="168" w:lineRule="atLeast"/>
        <w:jc w:val="both"/>
        <w:rPr>
          <w:rFonts w:ascii="Arial" w:hAnsi="Arial" w:cs="Arial"/>
        </w:rPr>
      </w:pPr>
      <w:r>
        <w:rPr>
          <w:rFonts w:ascii="Arial" w:hAnsi="Arial" w:cs="Arial"/>
        </w:rPr>
        <w:t>NB : Le motif peut être utilisé avec succès sans que ces conditions ne soient remplies à la condition qu’aucun</w:t>
      </w:r>
      <w:r w:rsidR="00C44F77">
        <w:rPr>
          <w:rFonts w:ascii="Arial" w:hAnsi="Arial" w:cs="Arial"/>
        </w:rPr>
        <w:t xml:space="preserve"> recours</w:t>
      </w:r>
      <w:r>
        <w:rPr>
          <w:rFonts w:ascii="Arial" w:hAnsi="Arial" w:cs="Arial"/>
        </w:rPr>
        <w:t xml:space="preserve"> ne soit déposé</w:t>
      </w:r>
      <w:r w:rsidR="00C44F77">
        <w:rPr>
          <w:rFonts w:ascii="Arial" w:hAnsi="Arial" w:cs="Arial"/>
        </w:rPr>
        <w:t xml:space="preserve"> contre l’arrêté préfectoral par la suite,</w:t>
      </w:r>
      <w:r w:rsidR="007C2D17">
        <w:rPr>
          <w:rFonts w:ascii="Arial" w:hAnsi="Arial" w:cs="Arial"/>
        </w:rPr>
        <w:t xml:space="preserve"> auquel cas</w:t>
      </w:r>
      <w:r w:rsidR="00C44F77">
        <w:rPr>
          <w:rFonts w:ascii="Arial" w:hAnsi="Arial" w:cs="Arial"/>
        </w:rPr>
        <w:t xml:space="preserve"> il serait </w:t>
      </w:r>
      <w:r w:rsidR="007C2D17">
        <w:rPr>
          <w:rFonts w:ascii="Arial" w:hAnsi="Arial" w:cs="Arial"/>
        </w:rPr>
        <w:t xml:space="preserve">certainement </w:t>
      </w:r>
      <w:r w:rsidR="00C44F77">
        <w:rPr>
          <w:rFonts w:ascii="Arial" w:hAnsi="Arial" w:cs="Arial"/>
        </w:rPr>
        <w:t>annulé sur décision du tribunal administratif.</w:t>
      </w:r>
    </w:p>
    <w:p w14:paraId="59FBA4A8" w14:textId="436E75FB" w:rsidR="009F1485" w:rsidRPr="00DE2AE7" w:rsidRDefault="00DE2AE7" w:rsidP="009F1485">
      <w:pPr>
        <w:pStyle w:val="western"/>
        <w:shd w:val="clear" w:color="auto" w:fill="FFFFFF"/>
        <w:spacing w:before="240" w:beforeAutospacing="0" w:after="240" w:afterAutospacing="0" w:line="168" w:lineRule="atLeast"/>
        <w:jc w:val="both"/>
        <w:rPr>
          <w:rFonts w:ascii="Arial" w:hAnsi="Arial" w:cs="Arial"/>
          <w:bCs/>
        </w:rPr>
      </w:pPr>
      <w:r w:rsidRPr="00DE2AE7">
        <w:rPr>
          <w:rFonts w:ascii="Arial" w:hAnsi="Arial" w:cs="Arial"/>
          <w:b/>
          <w:bCs/>
        </w:rPr>
        <w:t>Concernant la t</w:t>
      </w:r>
      <w:r w:rsidR="009F1485" w:rsidRPr="00DE2AE7">
        <w:rPr>
          <w:rFonts w:ascii="Arial" w:hAnsi="Arial" w:cs="Arial"/>
          <w:b/>
          <w:bCs/>
        </w:rPr>
        <w:t xml:space="preserve">enue du budget : </w:t>
      </w:r>
      <w:r w:rsidRPr="00DE2AE7">
        <w:rPr>
          <w:rFonts w:ascii="Arial" w:hAnsi="Arial" w:cs="Arial"/>
          <w:b/>
          <w:bCs/>
        </w:rPr>
        <w:t>v</w:t>
      </w:r>
      <w:r w:rsidR="009F1485" w:rsidRPr="00DE2AE7">
        <w:rPr>
          <w:rFonts w:ascii="Arial" w:hAnsi="Arial" w:cs="Arial"/>
          <w:b/>
          <w:bCs/>
        </w:rPr>
        <w:t xml:space="preserve">oir les articles </w:t>
      </w:r>
      <w:hyperlink r:id="rId8" w:tgtFrame="_blank" w:tooltip="Ouvrir " w:history="1">
        <w:r w:rsidR="009F1485" w:rsidRPr="00DE2AE7">
          <w:rPr>
            <w:rStyle w:val="Lienhypertexte"/>
            <w:rFonts w:ascii="Arial" w:eastAsiaTheme="majorEastAsia" w:hAnsi="Arial" w:cs="Arial"/>
            <w:b/>
            <w:bCs/>
          </w:rPr>
          <w:t>L2412-1</w:t>
        </w:r>
      </w:hyperlink>
      <w:r w:rsidR="009F1485" w:rsidRPr="00DE2AE7">
        <w:rPr>
          <w:rFonts w:ascii="Arial" w:hAnsi="Arial" w:cs="Arial"/>
          <w:b/>
          <w:bCs/>
        </w:rPr>
        <w:t xml:space="preserve"> et L2412-2 du CGCT.</w:t>
      </w:r>
    </w:p>
    <w:p w14:paraId="25E8A4C3" w14:textId="77777777" w:rsidR="009F1485" w:rsidRPr="00DE2AE7" w:rsidRDefault="009F1485" w:rsidP="00F4198F">
      <w:pPr>
        <w:jc w:val="both"/>
        <w:rPr>
          <w:rFonts w:ascii="Arial" w:hAnsi="Arial" w:cs="Arial"/>
          <w:sz w:val="24"/>
          <w:szCs w:val="24"/>
        </w:rPr>
      </w:pPr>
      <w:r w:rsidRPr="00DE2AE7">
        <w:rPr>
          <w:rFonts w:ascii="Arial" w:hAnsi="Arial" w:cs="Arial"/>
          <w:sz w:val="24"/>
          <w:szCs w:val="24"/>
        </w:rPr>
        <w:t>Les opérations concernant la section sont intégrées au budget général de la commune.</w:t>
      </w:r>
    </w:p>
    <w:p w14:paraId="69059D9C" w14:textId="57F0D84B" w:rsidR="009F1485" w:rsidRPr="00396F0F" w:rsidRDefault="009F1485" w:rsidP="00396F0F">
      <w:pPr>
        <w:pStyle w:val="Paragraphedeliste"/>
        <w:numPr>
          <w:ilvl w:val="0"/>
          <w:numId w:val="2"/>
        </w:numPr>
        <w:jc w:val="both"/>
        <w:rPr>
          <w:rFonts w:ascii="Arial" w:hAnsi="Arial" w:cs="Arial"/>
          <w:sz w:val="24"/>
          <w:szCs w:val="24"/>
        </w:rPr>
      </w:pPr>
      <w:r w:rsidRPr="00396F0F">
        <w:rPr>
          <w:rFonts w:ascii="Arial" w:hAnsi="Arial" w:cs="Arial"/>
          <w:sz w:val="24"/>
          <w:szCs w:val="24"/>
        </w:rPr>
        <w:t>Un état spécial par section est annexé au budget, dans lequel figure les revenus en espèces et le produit de la vente des biens de la section (l’état spécial annexé au budget primitif doit être équilibré, celui annexé au compte administratif doit refléter la situation exacte et faire éventuellement apparaître un excédent ou un déficit).</w:t>
      </w:r>
    </w:p>
    <w:p w14:paraId="177C6289" w14:textId="0872E19A" w:rsidR="009F1485" w:rsidRPr="00396F0F" w:rsidRDefault="009F1485" w:rsidP="00396F0F">
      <w:pPr>
        <w:pStyle w:val="western"/>
        <w:numPr>
          <w:ilvl w:val="0"/>
          <w:numId w:val="2"/>
        </w:numPr>
        <w:shd w:val="clear" w:color="auto" w:fill="FFFFFF"/>
        <w:spacing w:before="240" w:beforeAutospacing="0" w:after="240" w:afterAutospacing="0" w:line="168" w:lineRule="atLeast"/>
        <w:jc w:val="both"/>
        <w:rPr>
          <w:rFonts w:ascii="Arial" w:hAnsi="Arial" w:cs="Arial"/>
        </w:rPr>
      </w:pPr>
      <w:r w:rsidRPr="00396F0F">
        <w:rPr>
          <w:rFonts w:ascii="Arial" w:hAnsi="Arial" w:cs="Arial"/>
        </w:rPr>
        <w:t>La moitié des électeurs de la section peut demander au Maire un compte-rendu de l’exécution de l’état spécial de la section.</w:t>
      </w:r>
    </w:p>
    <w:p w14:paraId="727DE757" w14:textId="77777777" w:rsidR="009F1485" w:rsidRPr="00DE2AE7" w:rsidRDefault="009F1485" w:rsidP="001171E5">
      <w:pPr>
        <w:rPr>
          <w:rFonts w:ascii="Arial" w:hAnsi="Arial" w:cs="Arial"/>
          <w:sz w:val="24"/>
          <w:szCs w:val="24"/>
        </w:rPr>
      </w:pPr>
    </w:p>
    <w:p w14:paraId="58EA1253" w14:textId="7FB0E463" w:rsidR="00295534" w:rsidRPr="00DE2AE7" w:rsidRDefault="00295534" w:rsidP="00295534">
      <w:pPr>
        <w:spacing w:after="0"/>
        <w:jc w:val="center"/>
        <w:rPr>
          <w:rFonts w:ascii="Arial" w:hAnsi="Arial" w:cs="Arial"/>
          <w:sz w:val="24"/>
          <w:szCs w:val="24"/>
        </w:rPr>
      </w:pPr>
      <w:r w:rsidRPr="00DE2AE7">
        <w:rPr>
          <w:rFonts w:ascii="Arial" w:hAnsi="Arial" w:cs="Arial"/>
          <w:sz w:val="24"/>
          <w:szCs w:val="24"/>
        </w:rPr>
        <w:t>Annexe : extrait du jugement du tribunal administratif de Lyon du 7 décembre 2023</w:t>
      </w:r>
    </w:p>
    <w:p w14:paraId="26CDCE99" w14:textId="77777777" w:rsidR="00295534" w:rsidRPr="00DE2AE7" w:rsidRDefault="00295534" w:rsidP="00295534">
      <w:pPr>
        <w:spacing w:after="0"/>
        <w:jc w:val="center"/>
        <w:rPr>
          <w:rFonts w:ascii="Arial" w:hAnsi="Arial" w:cs="Arial"/>
          <w:color w:val="00B0F0"/>
          <w:sz w:val="24"/>
          <w:szCs w:val="24"/>
          <w:u w:val="single"/>
        </w:rPr>
      </w:pPr>
      <w:r w:rsidRPr="00DE2AE7">
        <w:rPr>
          <w:rFonts w:ascii="Arial" w:hAnsi="Arial" w:cs="Arial"/>
          <w:color w:val="00B0F0"/>
          <w:sz w:val="24"/>
          <w:szCs w:val="24"/>
          <w:u w:val="single"/>
        </w:rPr>
        <w:t>https://www.legifrance.gouv.fr/ceta/id/CETATEXT000048542922</w:t>
      </w:r>
    </w:p>
    <w:p w14:paraId="407B9242" w14:textId="77777777" w:rsidR="00295534" w:rsidRPr="00DE2AE7" w:rsidRDefault="00295534" w:rsidP="00295534">
      <w:pPr>
        <w:spacing w:after="0"/>
        <w:jc w:val="center"/>
        <w:rPr>
          <w:rFonts w:ascii="Arial" w:hAnsi="Arial" w:cs="Arial"/>
          <w:sz w:val="24"/>
          <w:szCs w:val="24"/>
        </w:rPr>
      </w:pPr>
    </w:p>
    <w:p w14:paraId="5FA6BD2D" w14:textId="77777777" w:rsidR="00295534" w:rsidRPr="00DE2AE7" w:rsidRDefault="00295534" w:rsidP="00295534">
      <w:pPr>
        <w:pStyle w:val="Default"/>
        <w:jc w:val="both"/>
        <w:rPr>
          <w:rFonts w:ascii="Arial" w:hAnsi="Arial" w:cs="Arial"/>
          <w:i/>
          <w:iCs/>
          <w:color w:val="867975"/>
        </w:rPr>
      </w:pPr>
      <w:r w:rsidRPr="00DE2AE7">
        <w:rPr>
          <w:rFonts w:ascii="Arial" w:hAnsi="Arial" w:cs="Arial"/>
          <w:i/>
          <w:iCs/>
          <w:color w:val="867975"/>
        </w:rPr>
        <w:t>Annulation de l'arrêté n°07-2020-11-10-012 du 10 novembre 2020 du préfet de l'Ardèche prononçant le transfert à la commune de Saint-Alban-en-Montagne de l'ensemble des biens, droit et obligations de la section de commune du "Hameau de Mas Vendran".</w:t>
      </w:r>
    </w:p>
    <w:p w14:paraId="1AB440F7" w14:textId="77777777" w:rsidR="00295534" w:rsidRPr="00DE2AE7" w:rsidRDefault="00295534" w:rsidP="00295534">
      <w:pPr>
        <w:spacing w:after="0"/>
        <w:jc w:val="both"/>
        <w:rPr>
          <w:rFonts w:ascii="Arial" w:hAnsi="Arial" w:cs="Arial"/>
          <w:sz w:val="24"/>
          <w:szCs w:val="24"/>
        </w:rPr>
      </w:pPr>
    </w:p>
    <w:p w14:paraId="102D0080" w14:textId="4F74C53F" w:rsidR="00295534" w:rsidRPr="00DE2AE7" w:rsidRDefault="00295534" w:rsidP="00295534">
      <w:pPr>
        <w:spacing w:after="0"/>
        <w:jc w:val="both"/>
        <w:rPr>
          <w:rFonts w:ascii="Arial" w:hAnsi="Arial" w:cs="Arial"/>
          <w:i/>
          <w:iCs/>
          <w:sz w:val="24"/>
          <w:szCs w:val="24"/>
        </w:rPr>
      </w:pPr>
      <w:r w:rsidRPr="00DE2AE7">
        <w:rPr>
          <w:rFonts w:ascii="Arial" w:hAnsi="Arial" w:cs="Arial"/>
          <w:i/>
          <w:iCs/>
          <w:sz w:val="24"/>
          <w:szCs w:val="24"/>
        </w:rPr>
        <w:t xml:space="preserve">4. Les dispositions de l'article L.2411-12-1 du code général des collectivités territoriales doivent être entendues comme permettant le transfert à une commune des biens d'une section de commune située sur son territoire, si les impôts dus au titre des biens appartenant à la section ont été supportés par le budget communal en lieu et place de la section défaillante, </w:t>
      </w:r>
      <w:r w:rsidRPr="00DE2AE7">
        <w:rPr>
          <w:rFonts w:ascii="Arial" w:hAnsi="Arial" w:cs="Arial"/>
          <w:b/>
          <w:bCs/>
          <w:i/>
          <w:iCs/>
          <w:sz w:val="24"/>
          <w:szCs w:val="24"/>
          <w:u w:val="single"/>
        </w:rPr>
        <w:t>sous réserve que ce paiement par le budget communal révèle un dysfonctionnement administratif et financier de la section, imputable à ses membres ou à ses représentants, notamment en l'absence de recettes suffisantes de la section</w:t>
      </w:r>
      <w:r w:rsidRPr="00DE2AE7">
        <w:rPr>
          <w:rFonts w:ascii="Arial" w:hAnsi="Arial" w:cs="Arial"/>
          <w:i/>
          <w:iCs/>
          <w:sz w:val="24"/>
          <w:szCs w:val="24"/>
        </w:rPr>
        <w:t>.</w:t>
      </w:r>
    </w:p>
    <w:p w14:paraId="2978EDE4" w14:textId="77777777" w:rsidR="00295534" w:rsidRPr="00DE2AE7" w:rsidRDefault="00295534" w:rsidP="00295534">
      <w:pPr>
        <w:spacing w:after="0"/>
        <w:jc w:val="both"/>
        <w:rPr>
          <w:rFonts w:ascii="Arial" w:hAnsi="Arial" w:cs="Arial"/>
          <w:i/>
          <w:iCs/>
          <w:sz w:val="24"/>
          <w:szCs w:val="24"/>
        </w:rPr>
      </w:pPr>
    </w:p>
    <w:p w14:paraId="1F4B10EF" w14:textId="57319FA7" w:rsidR="00295534" w:rsidRPr="00DE2AE7" w:rsidRDefault="00295534" w:rsidP="00295534">
      <w:pPr>
        <w:spacing w:after="0"/>
        <w:jc w:val="both"/>
        <w:rPr>
          <w:rFonts w:ascii="Arial" w:hAnsi="Arial" w:cs="Arial"/>
          <w:i/>
          <w:iCs/>
          <w:sz w:val="24"/>
          <w:szCs w:val="24"/>
        </w:rPr>
      </w:pPr>
      <w:r w:rsidRPr="00DE2AE7">
        <w:rPr>
          <w:rFonts w:ascii="Arial" w:hAnsi="Arial" w:cs="Arial"/>
          <w:i/>
          <w:iCs/>
          <w:sz w:val="24"/>
          <w:szCs w:val="24"/>
        </w:rPr>
        <w:t xml:space="preserve">5. En l'espèce, il ne ressort pas des pièces du dossier qu'une commission syndicale aurait été constituée pour administrer la section de commune du hameau de Mas Vendran. Par suite, </w:t>
      </w:r>
      <w:r w:rsidRPr="00DE2AE7">
        <w:rPr>
          <w:rFonts w:ascii="Arial" w:hAnsi="Arial" w:cs="Arial"/>
          <w:b/>
          <w:bCs/>
          <w:i/>
          <w:iCs/>
          <w:sz w:val="24"/>
          <w:szCs w:val="24"/>
          <w:u w:val="single"/>
        </w:rPr>
        <w:t>le conseil municipal était tenu, en application des dispositions précitées de l'article L.2412-1 du code général des collectivités territoriales, d'établir un état spécial annexé au budget de la commune</w:t>
      </w:r>
      <w:r w:rsidRPr="00DE2AE7">
        <w:rPr>
          <w:rFonts w:ascii="Arial" w:hAnsi="Arial" w:cs="Arial"/>
          <w:i/>
          <w:iCs/>
          <w:sz w:val="24"/>
          <w:szCs w:val="24"/>
        </w:rPr>
        <w:t xml:space="preserve">, dans lequel devaient être retracées les dépenses et les recettes de la section. Toutefois, d'une part, </w:t>
      </w:r>
      <w:r w:rsidRPr="00DE2AE7">
        <w:rPr>
          <w:rFonts w:ascii="Arial" w:hAnsi="Arial" w:cs="Arial"/>
          <w:b/>
          <w:bCs/>
          <w:i/>
          <w:iCs/>
          <w:sz w:val="24"/>
          <w:szCs w:val="24"/>
          <w:u w:val="single"/>
        </w:rPr>
        <w:t>il ne ressort pas des pièces du dossier que cet état spécial aurait été établi, ni que la section de commune ne disposait pas de ressources suffisantes pour payer les impôts</w:t>
      </w:r>
      <w:r w:rsidRPr="00DE2AE7">
        <w:rPr>
          <w:rFonts w:ascii="Arial" w:hAnsi="Arial" w:cs="Arial"/>
          <w:i/>
          <w:iCs/>
          <w:sz w:val="24"/>
          <w:szCs w:val="24"/>
        </w:rPr>
        <w:t xml:space="preserve"> exigibles, alors notamment que les requérants font valoir sans être sérieusement contestés que la section dispose de parcelles agricoles susceptibles d'être données à bail, et donc de ressources qui pourraient être suffisantes pour payer les impositions exigibles. D'autre part, il ressort des pièces du dossier que le préfet de l'Ardèche s'est fondé, pour prononcer le transfert en litige, sur la seule attestation du comptable public de la trésorerie de Coucouron indiquant que "la commune de Saint-Alban-en-Montagne a payé, depuis plus de trois années consécutives, les taxes foncières" de la section de commune en litige. </w:t>
      </w:r>
      <w:r w:rsidRPr="00DE2AE7">
        <w:rPr>
          <w:rFonts w:ascii="Arial" w:hAnsi="Arial" w:cs="Arial"/>
          <w:b/>
          <w:bCs/>
          <w:i/>
          <w:iCs/>
          <w:sz w:val="24"/>
          <w:szCs w:val="24"/>
          <w:u w:val="single"/>
        </w:rPr>
        <w:t>Toutefois, cette attestation ne précise pas que les taxes foncières auraient été payées sur le budget général de la commune sur le fondement des ressources qui soient propres à celle-ci et ne pourraient correspondre aux ressources de la section, ni, en conséquence, que ce paiement aurait été rendu nécessaire par l'absence de ressources suffisantes de la section</w:t>
      </w:r>
      <w:r w:rsidRPr="00DE2AE7">
        <w:rPr>
          <w:rFonts w:ascii="Arial" w:hAnsi="Arial" w:cs="Arial"/>
          <w:i/>
          <w:iCs/>
          <w:sz w:val="24"/>
          <w:szCs w:val="24"/>
        </w:rPr>
        <w:t>. Dans ces conditions, le préfet ne pouvait légalement estimer, au seul vu de cet élément et sans rechercher si la situation financière de la section était caractérisée par un dysfonctionnement, que les conditions posées par l'article L.2411-12-1 précité pour réaliser le transfert à la commune des biens de la section étaient remplies.</w:t>
      </w:r>
    </w:p>
    <w:p w14:paraId="4C8CD716" w14:textId="77777777" w:rsidR="00295534" w:rsidRPr="00DE2AE7" w:rsidRDefault="00295534" w:rsidP="001171E5">
      <w:pPr>
        <w:rPr>
          <w:rFonts w:ascii="Arial" w:hAnsi="Arial" w:cs="Arial"/>
          <w:sz w:val="24"/>
          <w:szCs w:val="24"/>
        </w:rPr>
      </w:pPr>
    </w:p>
    <w:p w14:paraId="69162578" w14:textId="5E1E5417" w:rsidR="00295534" w:rsidRPr="00DE2AE7" w:rsidRDefault="00295534" w:rsidP="00DE2AE7">
      <w:pPr>
        <w:jc w:val="both"/>
        <w:rPr>
          <w:rFonts w:ascii="Arial" w:hAnsi="Arial" w:cs="Arial"/>
          <w:sz w:val="24"/>
          <w:szCs w:val="24"/>
        </w:rPr>
      </w:pPr>
      <w:r w:rsidRPr="00DE2AE7">
        <w:rPr>
          <w:rFonts w:ascii="Arial" w:hAnsi="Arial" w:cs="Arial"/>
          <w:sz w:val="24"/>
          <w:szCs w:val="24"/>
        </w:rPr>
        <w:t>NB : Ce jugement semble avoir fait jurisprudence. Un autre cas identique est référencé sur la commune de Lesperon, jugement du TA de Lyon en date du 6 février 2024.</w:t>
      </w:r>
    </w:p>
    <w:sectPr w:rsidR="00295534" w:rsidRPr="00DE2A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56F57"/>
    <w:multiLevelType w:val="hybridMultilevel"/>
    <w:tmpl w:val="A37C71C8"/>
    <w:lvl w:ilvl="0" w:tplc="395257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B30D71"/>
    <w:multiLevelType w:val="hybridMultilevel"/>
    <w:tmpl w:val="625A9058"/>
    <w:lvl w:ilvl="0" w:tplc="0340216E">
      <w:numFmt w:val="bullet"/>
      <w:lvlText w:val="-"/>
      <w:lvlJc w:val="left"/>
      <w:pPr>
        <w:ind w:left="360" w:hanging="360"/>
      </w:pPr>
      <w:rPr>
        <w:rFonts w:ascii="Aptos" w:eastAsiaTheme="minorHAnsi" w:hAnsi="Aptos" w:cstheme="minorBidi"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841188485">
    <w:abstractNumId w:val="1"/>
  </w:num>
  <w:num w:numId="2" w16cid:durableId="687946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DF0"/>
    <w:rsid w:val="001171E5"/>
    <w:rsid w:val="00295534"/>
    <w:rsid w:val="0037113F"/>
    <w:rsid w:val="00396F0F"/>
    <w:rsid w:val="00453A29"/>
    <w:rsid w:val="00533293"/>
    <w:rsid w:val="0056555B"/>
    <w:rsid w:val="00773BE1"/>
    <w:rsid w:val="007C2D17"/>
    <w:rsid w:val="008D3BDE"/>
    <w:rsid w:val="00930DF0"/>
    <w:rsid w:val="009F1485"/>
    <w:rsid w:val="00A970BE"/>
    <w:rsid w:val="00AC565F"/>
    <w:rsid w:val="00C44F77"/>
    <w:rsid w:val="00DC3D3A"/>
    <w:rsid w:val="00DE2AE7"/>
    <w:rsid w:val="00E10946"/>
    <w:rsid w:val="00F419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4169B"/>
  <w15:chartTrackingRefBased/>
  <w15:docId w15:val="{957B45C1-4CC1-47B0-A7D4-9A9F257E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30D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30D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30DF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30DF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30DF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30DF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0DF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0DF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0DF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30DF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30DF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30DF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30DF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30DF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30DF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0DF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0DF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0DF0"/>
    <w:rPr>
      <w:rFonts w:eastAsiaTheme="majorEastAsia" w:cstheme="majorBidi"/>
      <w:color w:val="272727" w:themeColor="text1" w:themeTint="D8"/>
    </w:rPr>
  </w:style>
  <w:style w:type="paragraph" w:styleId="Titre">
    <w:name w:val="Title"/>
    <w:basedOn w:val="Normal"/>
    <w:next w:val="Normal"/>
    <w:link w:val="TitreCar"/>
    <w:uiPriority w:val="10"/>
    <w:qFormat/>
    <w:rsid w:val="00930D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0DF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0DF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0DF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0DF0"/>
    <w:pPr>
      <w:spacing w:before="160"/>
      <w:jc w:val="center"/>
    </w:pPr>
    <w:rPr>
      <w:i/>
      <w:iCs/>
      <w:color w:val="404040" w:themeColor="text1" w:themeTint="BF"/>
    </w:rPr>
  </w:style>
  <w:style w:type="character" w:customStyle="1" w:styleId="CitationCar">
    <w:name w:val="Citation Car"/>
    <w:basedOn w:val="Policepardfaut"/>
    <w:link w:val="Citation"/>
    <w:uiPriority w:val="29"/>
    <w:rsid w:val="00930DF0"/>
    <w:rPr>
      <w:i/>
      <w:iCs/>
      <w:color w:val="404040" w:themeColor="text1" w:themeTint="BF"/>
    </w:rPr>
  </w:style>
  <w:style w:type="paragraph" w:styleId="Paragraphedeliste">
    <w:name w:val="List Paragraph"/>
    <w:basedOn w:val="Normal"/>
    <w:link w:val="ParagraphedelisteCar"/>
    <w:qFormat/>
    <w:rsid w:val="00930DF0"/>
    <w:pPr>
      <w:ind w:left="720"/>
      <w:contextualSpacing/>
    </w:pPr>
  </w:style>
  <w:style w:type="character" w:styleId="Accentuationintense">
    <w:name w:val="Intense Emphasis"/>
    <w:basedOn w:val="Policepardfaut"/>
    <w:uiPriority w:val="21"/>
    <w:qFormat/>
    <w:rsid w:val="00930DF0"/>
    <w:rPr>
      <w:i/>
      <w:iCs/>
      <w:color w:val="0F4761" w:themeColor="accent1" w:themeShade="BF"/>
    </w:rPr>
  </w:style>
  <w:style w:type="paragraph" w:styleId="Citationintense">
    <w:name w:val="Intense Quote"/>
    <w:basedOn w:val="Normal"/>
    <w:next w:val="Normal"/>
    <w:link w:val="CitationintenseCar"/>
    <w:uiPriority w:val="30"/>
    <w:qFormat/>
    <w:rsid w:val="00930D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30DF0"/>
    <w:rPr>
      <w:i/>
      <w:iCs/>
      <w:color w:val="0F4761" w:themeColor="accent1" w:themeShade="BF"/>
    </w:rPr>
  </w:style>
  <w:style w:type="character" w:styleId="Rfrenceintense">
    <w:name w:val="Intense Reference"/>
    <w:basedOn w:val="Policepardfaut"/>
    <w:uiPriority w:val="32"/>
    <w:qFormat/>
    <w:rsid w:val="00930DF0"/>
    <w:rPr>
      <w:b/>
      <w:bCs/>
      <w:smallCaps/>
      <w:color w:val="0F4761" w:themeColor="accent1" w:themeShade="BF"/>
      <w:spacing w:val="5"/>
    </w:rPr>
  </w:style>
  <w:style w:type="paragraph" w:customStyle="1" w:styleId="western">
    <w:name w:val="western"/>
    <w:basedOn w:val="Normal"/>
    <w:rsid w:val="009F148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9F1485"/>
    <w:rPr>
      <w:color w:val="0000FF"/>
      <w:u w:val="single"/>
    </w:rPr>
  </w:style>
  <w:style w:type="character" w:styleId="Lienhypertextesuivivisit">
    <w:name w:val="FollowedHyperlink"/>
    <w:basedOn w:val="Policepardfaut"/>
    <w:uiPriority w:val="99"/>
    <w:semiHidden/>
    <w:unhideWhenUsed/>
    <w:rsid w:val="009F1485"/>
    <w:rPr>
      <w:color w:val="96607D" w:themeColor="followedHyperlink"/>
      <w:u w:val="single"/>
    </w:rPr>
  </w:style>
  <w:style w:type="character" w:customStyle="1" w:styleId="ParagraphedelisteCar">
    <w:name w:val="Paragraphe de liste Car"/>
    <w:link w:val="Paragraphedeliste"/>
    <w:rsid w:val="009F1485"/>
  </w:style>
  <w:style w:type="paragraph" w:customStyle="1" w:styleId="Default">
    <w:name w:val="Default"/>
    <w:rsid w:val="00295534"/>
    <w:pPr>
      <w:autoSpaceDE w:val="0"/>
      <w:autoSpaceDN w:val="0"/>
      <w:adjustRightInd w:val="0"/>
      <w:spacing w:after="0" w:line="240" w:lineRule="auto"/>
    </w:pPr>
    <w:rPr>
      <w:rFonts w:ascii="Calibri" w:hAnsi="Calibri" w:cs="Calibri"/>
      <w:color w:val="000000"/>
      <w:kern w:val="0"/>
      <w:sz w:val="24"/>
      <w:szCs w:val="24"/>
    </w:rPr>
  </w:style>
  <w:style w:type="paragraph" w:styleId="Rvision">
    <w:name w:val="Revision"/>
    <w:hidden/>
    <w:uiPriority w:val="99"/>
    <w:semiHidden/>
    <w:rsid w:val="00F419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469614" TargetMode="External"/><Relationship Id="rId3" Type="http://schemas.openxmlformats.org/officeDocument/2006/relationships/numbering" Target="numbering.xml"/><Relationship Id="rId7" Type="http://schemas.openxmlformats.org/officeDocument/2006/relationships/hyperlink" Target="https://www.legifrance.gouv.fr/codes/article_lc/LEGIARTI00002746959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8DD1AE-E438-4D9A-9211-98CD65BCF6A6}"/>
</file>

<file path=customXml/itemProps2.xml><?xml version="1.0" encoding="utf-8"?>
<ds:datastoreItem xmlns:ds="http://schemas.openxmlformats.org/officeDocument/2006/customXml" ds:itemID="{F54BC881-493A-461B-A3D8-62FA9BB134F8}">
  <ds:schemaRefs>
    <ds:schemaRef ds:uri="http://schemas.microsoft.com/sharepoint/v3/contenttype/forms"/>
  </ds:schemaRefs>
</ds:datastoreItem>
</file>

<file path=customXml/itemProps3.xml><?xml version="1.0" encoding="utf-8"?>
<ds:datastoreItem xmlns:ds="http://schemas.openxmlformats.org/officeDocument/2006/customXml" ds:itemID="{3C40DD87-424D-4FD2-A725-AC6B5230027A}"/>
</file>

<file path=docProps/app.xml><?xml version="1.0" encoding="utf-8"?>
<Properties xmlns="http://schemas.openxmlformats.org/officeDocument/2006/extended-properties" xmlns:vt="http://schemas.openxmlformats.org/officeDocument/2006/docPropsVTypes">
  <Template>Normal.dotm</Template>
  <TotalTime>55</TotalTime>
  <Pages>2</Pages>
  <Words>874</Words>
  <Characters>4812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REYNIER</dc:creator>
  <cp:keywords/>
  <dc:description/>
  <cp:lastModifiedBy>Lucas REYNIER</cp:lastModifiedBy>
  <cp:revision>8</cp:revision>
  <dcterms:created xsi:type="dcterms:W3CDTF">2024-12-10T15:50:00Z</dcterms:created>
  <dcterms:modified xsi:type="dcterms:W3CDTF">2025-01-06T11:43:00Z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